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D0B7BB4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7646A0">
              <w:t>VSP – Stredný Gemer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1167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6732A"/>
    <w:rsid w:val="00496F2E"/>
    <w:rsid w:val="00547D33"/>
    <w:rsid w:val="0057619B"/>
    <w:rsid w:val="00756114"/>
    <w:rsid w:val="007646A0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C5E8A0D0-F0DB-49DC-A9B7-63ECB662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764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Janka Rončáková</cp:lastModifiedBy>
  <cp:revision>18</cp:revision>
  <dcterms:created xsi:type="dcterms:W3CDTF">2017-01-16T13:13:00Z</dcterms:created>
  <dcterms:modified xsi:type="dcterms:W3CDTF">2024-10-29T19:58:00Z</dcterms:modified>
</cp:coreProperties>
</file>